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B6" w:rsidRPr="00072BB6" w:rsidRDefault="00072BB6" w:rsidP="00072BB6">
      <w:pPr>
        <w:spacing w:after="135" w:line="276" w:lineRule="auto"/>
        <w:jc w:val="center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MINISTARSTVO ZNANOSTI, OBRAZOVANJA I SPORTA</w:t>
      </w:r>
    </w:p>
    <w:p w:rsidR="00072BB6" w:rsidRPr="00072BB6" w:rsidRDefault="00072BB6" w:rsidP="00072BB6">
      <w:pPr>
        <w:spacing w:after="135" w:line="276" w:lineRule="auto"/>
        <w:jc w:val="center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Na temelju članka 86. stavka 3. </w:t>
      </w:r>
      <w:hyperlink r:id="rId4" w:history="1">
        <w:r w:rsidRPr="00072BB6">
          <w:rPr>
            <w:rFonts w:ascii="Arial" w:eastAsia="Times New Roman" w:hAnsi="Arial" w:cs="Arial"/>
            <w:b/>
            <w:bCs/>
            <w:color w:val="497FD7"/>
            <w:lang w:eastAsia="hr-HR"/>
          </w:rPr>
          <w:t>Zakona o odgoju i obrazovanju u osnovnoj i srednjoj školi</w:t>
        </w:r>
      </w:hyperlink>
      <w:r w:rsidRPr="00072BB6">
        <w:rPr>
          <w:rFonts w:ascii="Arial" w:eastAsia="Times New Roman" w:hAnsi="Arial" w:cs="Arial"/>
          <w:color w:val="414145"/>
          <w:lang w:eastAsia="hr-HR"/>
        </w:rPr>
        <w:t> (»Narodne novine«, broj 87/08., 86/09., 92/10., 105/10. – ispravak, 90/11., 16/12., 86/12., 94/13. i 152/14.), ministar znanosti, obrazovanja i sporta donosi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 </w:t>
      </w:r>
    </w:p>
    <w:p w:rsidR="00072BB6" w:rsidRPr="00072BB6" w:rsidRDefault="00072BB6" w:rsidP="00072BB6">
      <w:pPr>
        <w:spacing w:before="390" w:after="90" w:line="27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8"/>
          <w:lang w:eastAsia="hr-HR"/>
        </w:rPr>
      </w:pPr>
      <w:r w:rsidRPr="00072BB6">
        <w:rPr>
          <w:rFonts w:ascii="Arial" w:eastAsia="Times New Roman" w:hAnsi="Arial" w:cs="Arial"/>
          <w:b/>
          <w:bCs/>
          <w:caps/>
          <w:color w:val="414145"/>
          <w:sz w:val="28"/>
          <w:lang w:eastAsia="hr-HR"/>
        </w:rPr>
        <w:t>PRAVILNIK O KRITERIJIMA ZA IZRICANJE PEDAGOŠKIH MJERA</w:t>
      </w:r>
    </w:p>
    <w:p w:rsidR="00072BB6" w:rsidRPr="00072BB6" w:rsidRDefault="00072BB6" w:rsidP="00072BB6">
      <w:pPr>
        <w:spacing w:after="135" w:line="276" w:lineRule="auto"/>
        <w:jc w:val="center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Pročišćeni tekst</w:t>
      </w:r>
    </w:p>
    <w:p w:rsidR="00072BB6" w:rsidRPr="00072BB6" w:rsidRDefault="00072BB6" w:rsidP="00072BB6">
      <w:pPr>
        <w:spacing w:after="135" w:line="276" w:lineRule="auto"/>
        <w:jc w:val="center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NN </w:t>
      </w:r>
      <w:hyperlink r:id="rId5" w:history="1">
        <w:r w:rsidRPr="00072BB6">
          <w:rPr>
            <w:rFonts w:ascii="Arial" w:eastAsia="Times New Roman" w:hAnsi="Arial" w:cs="Arial"/>
            <w:b/>
            <w:bCs/>
            <w:color w:val="497FD7"/>
            <w:lang w:eastAsia="hr-HR"/>
          </w:rPr>
          <w:t>94/15</w:t>
        </w:r>
      </w:hyperlink>
      <w:r w:rsidRPr="00072BB6">
        <w:rPr>
          <w:rFonts w:ascii="Arial" w:eastAsia="Times New Roman" w:hAnsi="Arial" w:cs="Arial"/>
          <w:color w:val="414145"/>
          <w:lang w:eastAsia="hr-HR"/>
        </w:rPr>
        <w:t>, </w:t>
      </w:r>
      <w:hyperlink r:id="rId6" w:history="1">
        <w:r w:rsidRPr="00072BB6">
          <w:rPr>
            <w:rFonts w:ascii="Arial" w:eastAsia="Times New Roman" w:hAnsi="Arial" w:cs="Arial"/>
            <w:b/>
            <w:bCs/>
            <w:color w:val="497FD7"/>
            <w:lang w:eastAsia="hr-HR"/>
          </w:rPr>
          <w:t>03/17</w:t>
        </w:r>
      </w:hyperlink>
    </w:p>
    <w:p w:rsidR="00072BB6" w:rsidRDefault="00072BB6" w:rsidP="00072BB6">
      <w:pPr>
        <w:spacing w:after="135" w:line="276" w:lineRule="auto"/>
        <w:jc w:val="center"/>
        <w:rPr>
          <w:rFonts w:ascii="Arial" w:eastAsia="Times New Roman" w:hAnsi="Arial" w:cs="Arial"/>
          <w:color w:val="414145"/>
          <w:lang w:eastAsia="hr-HR"/>
        </w:rPr>
      </w:pPr>
    </w:p>
    <w:p w:rsidR="00072BB6" w:rsidRDefault="00072BB6" w:rsidP="00072BB6">
      <w:pPr>
        <w:spacing w:after="135" w:line="276" w:lineRule="auto"/>
        <w:jc w:val="center"/>
        <w:rPr>
          <w:rFonts w:ascii="Arial" w:eastAsia="Times New Roman" w:hAnsi="Arial" w:cs="Arial"/>
          <w:color w:val="414145"/>
          <w:lang w:eastAsia="hr-HR"/>
        </w:rPr>
      </w:pPr>
    </w:p>
    <w:p w:rsidR="00072BB6" w:rsidRPr="00072BB6" w:rsidRDefault="00072BB6" w:rsidP="00072BB6">
      <w:pPr>
        <w:spacing w:after="135" w:line="276" w:lineRule="auto"/>
        <w:jc w:val="center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Članak 1.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(1) Ovim pravilnikom propisuju se kriteriji za izricanje pedagoških mjera učenicima osnovnih i srednjih škola.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(2) Svrha izricanja pedagoške mjere je da se njezinim izricanjem utječe na promjenu ponašanja učenika kojem je mjera izrečena te da bude poticaj na odgovorno i primjerno ponašanje drugim učenicima. Pedagoške mjere trebaju potaknuti učenike na preuzimanje odgovornosti i usvajanje pozitivnog odnosa prema školskim obvezama i okruženju.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(3) Izricanje pedagoških mjera temelji se na principima postupnosti, proporcionalnosti, pravednosti i pravodobnosti.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(4) Pedagoške mjere izriču se zbog povrede dužnosti, neispunjavanja obveza, nasilničkog ponašanja i drugih neprimjerenih ponašanja (u daljnjem tekstu: neprihvatljiva ponašanja).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(5) Pedagoške mjere za koje se utvrđuju kriteriji u: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a) osnovnoj školi su: opomena, ukor, strogi ukor i preseljenje u drugu školu,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b) srednjoj školi su: opomena, ukor, opomena pred isključenje i isključenje iz srednje škole.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(6) Pedagoške mjere izriču se prema težini neprihvatljivog ponašanja.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(7) Izrazi koji se koriste u ovome pravilniku, a koji imaju rodno značenje, bez obzira na to jesu li korišteni u muškome ili ženskome rodu obuhvaćaju na jednak način i muški i ženski rod.</w:t>
      </w: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Pr="00072BB6" w:rsidRDefault="00072BB6" w:rsidP="00072BB6">
      <w:pPr>
        <w:spacing w:after="135" w:line="276" w:lineRule="auto"/>
        <w:jc w:val="center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Članak 2.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(1) Kriteriji na temelju kojih se izriče pedagoška mjera trebaju biti takvi da potaknu učenika na odustajanje od neprihvatljivih oblika ponašanja i usvajanje prihvatljivih oblika ponašanja, u skladu s pravilima i kućnim redom škole.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(2) Na početku svake školske godine razrednik je obvezan na satu razrednika izvijestiti učenike, a na roditeljskome sastanku roditelje/zakonske zastupnike učenika (u daljnjem tekstu: roditelje) o odredbama ovoga pravilnika.</w:t>
      </w: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Pr="00072BB6" w:rsidRDefault="00072BB6" w:rsidP="00072BB6">
      <w:pPr>
        <w:spacing w:after="135" w:line="276" w:lineRule="auto"/>
        <w:jc w:val="center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lastRenderedPageBreak/>
        <w:t>Članak 3.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(1) Neprihvatljiva ponašanja na temelju kojih se izriču pedagoške mjere iz članka 1. stavka 5. ovoga pravilnika podijeljena su ovisno o težini na: lakša, teža, teška i osobito teška.</w:t>
      </w: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b/>
          <w:color w:val="414145"/>
          <w:lang w:eastAsia="hr-HR"/>
        </w:rPr>
      </w:pPr>
      <w:r w:rsidRPr="00072BB6">
        <w:rPr>
          <w:rFonts w:ascii="Arial" w:eastAsia="Times New Roman" w:hAnsi="Arial" w:cs="Arial"/>
          <w:b/>
          <w:color w:val="414145"/>
          <w:lang w:eastAsia="hr-HR"/>
        </w:rPr>
        <w:t>(2) Lakšim neprihvatljivim ponašanjima iz stavka 1. ovoga članka smatra se: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a) ometanje odgojno-obrazovnoga rada (npr. izazivanje nereda, stvaranje buke, pričanje nakon usmene opomene učitelja/nastavnika ili dovikivanje tijekom odgojno-obrazovnoga rada);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b) onečišćenje školskoga prostora i okoliša (npr. bacanje smeća izvan koševa za otpatke);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c) oštećivanje imovine u prostorima škole ili na drugome mjestu gdje se održava odgojno-obrazovni rad nanošenjem manje štete (npr. šaranje, urezivanje u namještaj);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d) nedopušteno korištenje informacijsko-komunikacijskih uređaja tijekom odgojno-obrazovnoga rada;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e) pomaganje ili poticanje ulaska neovlaštenih osoba u školski prostor;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f) poticanje drugih učenika na neprihvatljiva ponašanja;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g) uznemiravanje učenika ili radnika škole odnosno druge aktivnosti koje izazivaju nelagodu u drugih osoba, nakon što je učenik na to upozoren;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h) korištenje nedopuštenih izvora podataka u svrhu prepisivanja.</w:t>
      </w: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b/>
          <w:color w:val="414145"/>
          <w:lang w:eastAsia="hr-HR"/>
        </w:rPr>
      </w:pPr>
      <w:r w:rsidRPr="00072BB6">
        <w:rPr>
          <w:rFonts w:ascii="Arial" w:eastAsia="Times New Roman" w:hAnsi="Arial" w:cs="Arial"/>
          <w:b/>
          <w:color w:val="414145"/>
          <w:lang w:eastAsia="hr-HR"/>
        </w:rPr>
        <w:t>(3) Težim neprihvatljivim ponašanjima iz stavka 1. ovoga članka smatra se: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a) ometanje odgojno-obrazovnoga rada na način da je onemogućeno njegovo daljnje izvođenje;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b) povreda dostojanstva druge osobe omalovažavanjem, vrijeđanjem ili širenjem neistina i glasina o drugome učeniku ili radniku škole;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 xml:space="preserve">c) unošenje ili konzumiranje </w:t>
      </w:r>
      <w:proofErr w:type="spellStart"/>
      <w:r w:rsidRPr="00072BB6">
        <w:rPr>
          <w:rFonts w:ascii="Arial" w:eastAsia="Times New Roman" w:hAnsi="Arial" w:cs="Arial"/>
          <w:color w:val="414145"/>
          <w:lang w:eastAsia="hr-HR"/>
        </w:rPr>
        <w:t>psihoaktivnih</w:t>
      </w:r>
      <w:proofErr w:type="spellEnd"/>
      <w:r w:rsidRPr="00072BB6">
        <w:rPr>
          <w:rFonts w:ascii="Arial" w:eastAsia="Times New Roman" w:hAnsi="Arial" w:cs="Arial"/>
          <w:color w:val="414145"/>
          <w:lang w:eastAsia="hr-HR"/>
        </w:rPr>
        <w:t xml:space="preserve"> sredstava u prostor škole ili na drugo mjesto gdje se održava odgojno-obrazovni rad;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d) dovođenje ili pomaganje prilikom dolaska neovlaštenim osobama koje su nanijele štetu osobama ili imovini u prostoru škole ili na drugome mjestu gdje se održava odgojno-obrazovni rad;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e) namjerno uništavanje imovine nanošenjem veće štete u prostoru škole ili na drugome mjestu gdje se održava odgojno-obrazovni rad;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f) prikrivanje nasilnih oblika ponašanja;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g) udaranje, sudjelovanje u tučnjavi i druga ponašanja koja mogu ugroziti sigurnost samog učenika ili druge osobe, ali bez težih posljedica;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h) korištenje ili zlouporaba podataka drugog učenika iz pedagoške dokumentacije;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i) klađenje ili kockanje u prostorima škole ili na drugome mjestu gdje se održava odgojno-obrazovni rad;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j) prisvajanje tuđe stvari.</w:t>
      </w: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b/>
          <w:color w:val="414145"/>
          <w:lang w:eastAsia="hr-HR"/>
        </w:rPr>
      </w:pPr>
      <w:r w:rsidRPr="00072BB6">
        <w:rPr>
          <w:rFonts w:ascii="Arial" w:eastAsia="Times New Roman" w:hAnsi="Arial" w:cs="Arial"/>
          <w:b/>
          <w:color w:val="414145"/>
          <w:lang w:eastAsia="hr-HR"/>
        </w:rPr>
        <w:t>(4) Teškim neprihvatljivim ponašanjima iz stavka 1. ovoga članka smatra se: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a) izazivanje i poticanje nasilnog ponašanja (npr. prenošenje netočnih informacija koje su povod za nasilno ponašanje, skandiranje prije ili tijekom nasilnog ponašanja, snimanje događaja koji uključuje nasilno ponašanje i slična ponašanja);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b) nasilno ponašanje koje nije rezultiralo težim posljedicama;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c) krivotvorenje ispričnica ili ispitnih materijala;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d) neovlašteno korištenje tuđih podataka za pristup elektroničkim bazama podataka škole bez njihove izmjene;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e) krađa tuđe stvari;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f) poticanje grupnoga govora mržnje;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g) uništavanje službene dokumentacije škole;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h) prisila drugog učenika na neprihvatljivo ponašanje ili iznuda drugog učenika (npr. iznuđivanje novca);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i) unošenje oružja i opasnih predmeta u prostor škole ili drugdje gdje se održava odgojno-obrazovni rad.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b/>
          <w:color w:val="414145"/>
          <w:lang w:eastAsia="hr-HR"/>
        </w:rPr>
      </w:pP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b/>
          <w:color w:val="414145"/>
          <w:lang w:eastAsia="hr-HR"/>
        </w:rPr>
      </w:pPr>
      <w:r w:rsidRPr="00072BB6">
        <w:rPr>
          <w:rFonts w:ascii="Arial" w:eastAsia="Times New Roman" w:hAnsi="Arial" w:cs="Arial"/>
          <w:b/>
          <w:color w:val="414145"/>
          <w:lang w:eastAsia="hr-HR"/>
        </w:rPr>
        <w:t>(5) Osobito teškim neprihvatljivim ponašanjima iz stavka 1. ovoga članka smatra se: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a) krivotvorenje pisane ili elektroničke službene dokumentacije škole;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b) objavljivanje materijala elektroničkim ili drugim putem, a koji za posljedicu imaju povredu ugleda, časti i dostojanstva druge osobe;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c) teška krađa odnosno krađa počinjena na opasan ili drzak način, obijanjem, provaljivanjem ili svladavanjem prepreka da se dođe do stvari;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d) ugrožavanje sigurnosti učenika ili radnika škole korištenjem oružja ili opasnih predmeta u prostoru škole ili na drugome mjestu gdje se održava odgojno-obrazovni rad;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e) nasilno ponašanje koje je rezultiralo teškim emocionalnim ili fizičkim posljedicama za drugu osobu.</w:t>
      </w: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Pr="00072BB6" w:rsidRDefault="00072BB6" w:rsidP="00072BB6">
      <w:pPr>
        <w:spacing w:after="135" w:line="276" w:lineRule="auto"/>
        <w:jc w:val="center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Članak 4. (NN </w:t>
      </w:r>
      <w:hyperlink r:id="rId7" w:history="1">
        <w:r w:rsidRPr="00072BB6">
          <w:rPr>
            <w:rFonts w:ascii="Arial" w:eastAsia="Times New Roman" w:hAnsi="Arial" w:cs="Arial"/>
            <w:b/>
            <w:bCs/>
            <w:color w:val="497FD7"/>
            <w:lang w:eastAsia="hr-HR"/>
          </w:rPr>
          <w:t>03/17</w:t>
        </w:r>
      </w:hyperlink>
      <w:r w:rsidRPr="00072BB6">
        <w:rPr>
          <w:rFonts w:ascii="Arial" w:eastAsia="Times New Roman" w:hAnsi="Arial" w:cs="Arial"/>
          <w:color w:val="414145"/>
          <w:lang w:eastAsia="hr-HR"/>
        </w:rPr>
        <w:t>)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(1) Pedagoška mjera izriče se i zbog neopravdanih izostanaka s nastave.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(2) Izostanak s nastave, u slučaju pravodobnog zahtjeva roditelja, može odobriti: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– učitelj/nastavnik za izostanak tijekom nastavnoga dana,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– razrednik za izostanak do tri (pojedinačna ili uzastopna) radna dana,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– ravnatelj za izostanak do sedam (uzastopnih) radnih dana,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– učiteljsko/nastavničko vijeće za izostanak do petnaest (uzastopnih) radnih dana.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lastRenderedPageBreak/>
        <w:t>(4) Opravdanost izostanka s nastave zbog zdravstvenih razloga u trajanju duljem od tri radna dana uzastopno dokazuje se liječničkom potvrdom.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(6) Neopravdanim izostankom smatra se izostanak koji nije odobren ili opravdan sukladno odredbama stavka 2., 3., 4. i 5. ovoga članka.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(7) Načini opravdavanja izostanaka učenika i primjereni rok javljanja o razlogu izostanka uređuju se statutom škole.</w:t>
      </w: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Pr="00072BB6" w:rsidRDefault="00072BB6" w:rsidP="00072BB6">
      <w:pPr>
        <w:spacing w:after="135" w:line="276" w:lineRule="auto"/>
        <w:jc w:val="center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Članak 5.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(1) U postupku izricanja pedagoških mjera učitelji/nastavnici, stručni suradnici i ravnatelj (u daljnjem tekstu: odgojno-obrazovni radnici) dužni su voditi računa o dobi učenika, njegovoj psihofizičkoj razvijenosti i osobinama, ranijem ponašanju, okolnostima koje utječu na učenikov razvoj, okolnostima u kojima se neprihvatljivo ponašanje dogodilo te drugim okolnostima.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(2) Prije izricanja mjere učeniku se mora omogućiti savjetovanje s odgojno-obrazovnim radnikom te izjašnjavanje o činjenicama i okolnostima koje su važne za donošenje odluke o opravdanosti izricanja pedagoške mjere. Roditelj mora biti informiran o neprihvatljivom ponašanju, načinu prikupljanja informacija, prikupljenim informacijama koje su važne za donošenje odluke o izricanju pedagoške mjere.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(3) Mjera se može izreći i bez izjašnjavanja učenika ako se učenik bez opravdanoga razloga ne odazove pozivu razrednika ili druge ovlaštene osobe.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(4) Mjera se može izreći i bez informiranja roditelja, što je propisano stavkom 2. ovoga članka, ako se roditelj ne odazove ni pisanom pozivu na razgovor.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(5) Pedagoška mjera opomene i ukora mora se izreći najkasnije u roku od 15 dana od dana saznanja za neprihvatljivo ponašanje učenika zbog kojeg se izriče.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(6) Pedagoška mjera strogog ukora učeniku osnovne škole, odnosno opomene pred isključenje učeniku srednje škole, mora se izreći najkasnije u roku od 30 dana od dana saznanja za neprihvatljivo ponašanje učenika zbog kojeg se izriče.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(7) Pedagoška mjera preseljenja u drugu školu učeniku osnovne škole, odnosno isključenja iz srednje škole, mora se izreći najkasnije u roku od 60 dana od dana saznanja za neprihvatljivo ponašanje učenika zbog kojeg se izriče.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(8) Pedagoška mjera mora se izreći u roku od 15 dana ako je učenik rješenjem ravnatelja privremeno udaljen iz odgojno-obrazovnog procesa. Vrijeme privremenog udaljavanja iz odgojno-obrazovnog procesa ne smatra se neopravdanim izostankom učenika.</w:t>
      </w: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Pr="00072BB6" w:rsidRDefault="00072BB6" w:rsidP="00072BB6">
      <w:pPr>
        <w:spacing w:after="135" w:line="276" w:lineRule="auto"/>
        <w:jc w:val="center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lastRenderedPageBreak/>
        <w:t>Članak 6.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(1) Svako izricanje pedagoške mjere temelji se na bilješkama iz pedagoške dokumentacije i/ili službenim bilješkama stručnih suradnika i/ili ravnatelja, a ako je potrebno i na mišljenjima drugih nadležnih institucija.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(2) Prije izricanja pedagoške mjere odgojno-obrazovni radnici škole dužni su međusobno se konzultirati, kontaktirati roditelja učenika, a ako je potrebno mogu se konzultirati i sa školskim liječnikom, drugim stručnjakom ili nadležnim centrom za socijalnu skrb radi upoznavanja osobina i mogućnosti učenika te uklanjanja uzroka koji sprečavaju ili otežavaju njihov pravilan razvoj kako bi se ublažili rizični i pojačali zaštitni čimbenici u razvoju učenika.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(3) 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Pr="00072BB6" w:rsidRDefault="00072BB6" w:rsidP="00072BB6">
      <w:pPr>
        <w:spacing w:after="135" w:line="276" w:lineRule="auto"/>
        <w:jc w:val="center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Članak 7.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(1) Pedagoška mjera opomene izriče se nakon drugog evidentiranog lakšeg neprihvatljivog ponašanja iz članka 3. stavka 2. ovoga pravilnika ili u slučaju da je učenik neopravdano izostao više od 0,5% nastavnih sati od ukupnoga broja sati u koje je trebao biti uključen tijekom nastavne godine.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(2) Pedagoška mjera ukora izriče se zbog težeg neprihvatljivog ponašanja iz članka 3. stavka 3. ovoga pravilnika ili u slučaju da je učenik neopravdano izostao više od 1% nastavnih sati od ukupnoga broja sati u koje je trebao biti uključen tijekom nastavne godine.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(3) Pedagoška mjera strogog ukora za učenika osnovne škole, odnosno opomena pred isključenje za učenika srednje škole, izriče se zbog teškog neprihvatljivog ponašanja iz članka 3. stavka 4. ovoga pravilnika ili u slučaju da je učenik neopravdano izostao više od 1,5% nastavnih sati od ukupnoga broja sati u koje je trebao biti uključen tijekom nastavne godine.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(4) Pedagoška mjera preseljenja u drugu školu za učenika osnovne škole, odnosno isključenje iz škole za učenika srednje škole, izriče se zbog osobito teškog neprihvatljivog ponašanja iz članka 3. stavka 5. ovoga pravilnika ili u slučaju da je učenik neopravdano izostao više od 2% nastavnih sati od ukupnoga broja sati u koje je trebao biti uključen tijekom nastavne godine.</w:t>
      </w: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Pr="00072BB6" w:rsidRDefault="00072BB6" w:rsidP="00072BB6">
      <w:pPr>
        <w:spacing w:after="135" w:line="276" w:lineRule="auto"/>
        <w:jc w:val="center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Članak 8.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(1) Učeniku kojemu je već izrečena pedagoška mjera iz članka 7. stavka 1. ili 2. ovoga pravilnika ponavlja se prethodno izrečena pedagoška mjera u slučaju neprihvatljivog ponašanja manje ili iste težine za koje mu još nije izrečena pedagoška mjera. Ista pedagoška mjera može se izreći najviše dva puta tijekom školske godine. U slučaju da se učenik ponovno neprihvatljivo ponaša, izriče se pedagoška mjera sljedeće težine.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(2) Učeniku kojemu je već izrečena jedna od pedagoških mjera iz članka 7. stavka 1. ili 2. ovoga pravilnika izriče se sljedeća teža mjera u slučaju ponavljanja neprihvatljivog ponašanja za koju mu je već izrečena pedagoška mjera.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(3) Učeniku kojemu je već izrečena pedagoška mjera iz članka 7. stavka 3. ovoga pravilnika izriče se pedagoška mjera iz članka 7. stavka 4. ovoga pravilnika u slučaju bilo kojega neprihvatljivog ponašanja iz članka 3. stavka 4. ovoga pravilnika, odnosno dva neprihvatljiva ponašanja iz članka 3. stavka 2 i 3. ovoga pravilnika.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lastRenderedPageBreak/>
        <w:t>(4) Učeniku osnovne škole kojem je izrečena pedagoška mjera preseljenja u drugu školu, a koji se i dalje neprimjereno ponaša, može se, sukladno odredbama ovog pravilnika izreći pedagoška mjera izuzev mjere preseljenja u drugu školu.</w:t>
      </w: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Pr="00072BB6" w:rsidRDefault="00072BB6" w:rsidP="00072BB6">
      <w:pPr>
        <w:spacing w:after="135" w:line="276" w:lineRule="auto"/>
        <w:jc w:val="center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Članak 9.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Škole su dužne uskladiti odredbe statuta s odredbama ovoga pravilnika u roku od 60 dana od dana njegova stupanja na snagu.</w:t>
      </w: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Pr="00072BB6" w:rsidRDefault="00072BB6" w:rsidP="00072BB6">
      <w:pPr>
        <w:spacing w:after="135" w:line="276" w:lineRule="auto"/>
        <w:jc w:val="center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Članak 10.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Ovaj pravilnik stupa na snagu osmoga dana od dana objave u »Narodnim novinama«.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Klasa: 602-02/15-06/00087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proofErr w:type="spellStart"/>
      <w:r w:rsidRPr="00072BB6">
        <w:rPr>
          <w:rFonts w:ascii="Arial" w:eastAsia="Times New Roman" w:hAnsi="Arial" w:cs="Arial"/>
          <w:color w:val="414145"/>
          <w:lang w:eastAsia="hr-HR"/>
        </w:rPr>
        <w:t>Urbroj</w:t>
      </w:r>
      <w:proofErr w:type="spellEnd"/>
      <w:r w:rsidRPr="00072BB6">
        <w:rPr>
          <w:rFonts w:ascii="Arial" w:eastAsia="Times New Roman" w:hAnsi="Arial" w:cs="Arial"/>
          <w:color w:val="414145"/>
          <w:lang w:eastAsia="hr-HR"/>
        </w:rPr>
        <w:t>: 533-25-15-0008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Zagreb, 31. kolovoza 2015.</w:t>
      </w: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b/>
          <w:color w:val="414145"/>
          <w:lang w:eastAsia="hr-HR"/>
        </w:rPr>
      </w:pPr>
      <w:r w:rsidRPr="00072BB6">
        <w:rPr>
          <w:rFonts w:ascii="Arial" w:eastAsia="Times New Roman" w:hAnsi="Arial" w:cs="Arial"/>
          <w:b/>
          <w:color w:val="414145"/>
          <w:lang w:eastAsia="hr-HR"/>
        </w:rPr>
        <w:t>Prijelazne i završne odredbe iz NN 03/17</w:t>
      </w:r>
    </w:p>
    <w:p w:rsid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</w:p>
    <w:p w:rsidR="00072BB6" w:rsidRPr="00072BB6" w:rsidRDefault="00072BB6" w:rsidP="00072BB6">
      <w:pPr>
        <w:spacing w:after="135" w:line="276" w:lineRule="auto"/>
        <w:jc w:val="center"/>
        <w:rPr>
          <w:rFonts w:ascii="Arial" w:eastAsia="Times New Roman" w:hAnsi="Arial" w:cs="Arial"/>
          <w:color w:val="414145"/>
          <w:lang w:eastAsia="hr-HR"/>
        </w:rPr>
      </w:pPr>
      <w:bookmarkStart w:id="0" w:name="_GoBack"/>
      <w:bookmarkEnd w:id="0"/>
      <w:r w:rsidRPr="00072BB6">
        <w:rPr>
          <w:rFonts w:ascii="Arial" w:eastAsia="Times New Roman" w:hAnsi="Arial" w:cs="Arial"/>
          <w:color w:val="414145"/>
          <w:lang w:eastAsia="hr-HR"/>
        </w:rPr>
        <w:t>Članak 2.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Ovaj pravilnik stupa na snagu osmoga dana od dana objave u »Narodnim novinama«.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Klasa: 602-01/16-01/00635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proofErr w:type="spellStart"/>
      <w:r w:rsidRPr="00072BB6">
        <w:rPr>
          <w:rFonts w:ascii="Arial" w:eastAsia="Times New Roman" w:hAnsi="Arial" w:cs="Arial"/>
          <w:color w:val="414145"/>
          <w:lang w:eastAsia="hr-HR"/>
        </w:rPr>
        <w:t>Urbroj</w:t>
      </w:r>
      <w:proofErr w:type="spellEnd"/>
      <w:r w:rsidRPr="00072BB6">
        <w:rPr>
          <w:rFonts w:ascii="Arial" w:eastAsia="Times New Roman" w:hAnsi="Arial" w:cs="Arial"/>
          <w:color w:val="414145"/>
          <w:lang w:eastAsia="hr-HR"/>
        </w:rPr>
        <w:t>: 533-28-16-0001</w:t>
      </w:r>
    </w:p>
    <w:p w:rsidR="00072BB6" w:rsidRPr="00072BB6" w:rsidRDefault="00072BB6" w:rsidP="00072BB6">
      <w:pPr>
        <w:spacing w:after="135" w:line="276" w:lineRule="auto"/>
        <w:jc w:val="both"/>
        <w:rPr>
          <w:rFonts w:ascii="Arial" w:eastAsia="Times New Roman" w:hAnsi="Arial" w:cs="Arial"/>
          <w:color w:val="414145"/>
          <w:lang w:eastAsia="hr-HR"/>
        </w:rPr>
      </w:pPr>
      <w:r w:rsidRPr="00072BB6">
        <w:rPr>
          <w:rFonts w:ascii="Arial" w:eastAsia="Times New Roman" w:hAnsi="Arial" w:cs="Arial"/>
          <w:color w:val="414145"/>
          <w:lang w:eastAsia="hr-HR"/>
        </w:rPr>
        <w:t>Zagreb, 28. prosinca 2016.</w:t>
      </w:r>
    </w:p>
    <w:p w:rsidR="003878E1" w:rsidRPr="00072BB6" w:rsidRDefault="00072BB6" w:rsidP="00072BB6">
      <w:pPr>
        <w:spacing w:line="276" w:lineRule="auto"/>
        <w:jc w:val="both"/>
      </w:pPr>
    </w:p>
    <w:sectPr w:rsidR="003878E1" w:rsidRPr="00072BB6" w:rsidSect="00072BB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B6"/>
    <w:rsid w:val="00072BB6"/>
    <w:rsid w:val="001663EE"/>
    <w:rsid w:val="0045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DA29"/>
  <w15:chartTrackingRefBased/>
  <w15:docId w15:val="{9F81BC54-D263-4FAB-8498-42A5E96A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181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18179" TargetMode="External"/><Relationship Id="rId5" Type="http://schemas.openxmlformats.org/officeDocument/2006/relationships/hyperlink" Target="https://www.zakon.hr/cms.htm?id=13405" TargetMode="External"/><Relationship Id="rId4" Type="http://schemas.openxmlformats.org/officeDocument/2006/relationships/hyperlink" Target="https://www.zakon.hr/z/317/Zakon-o-odgoju-i-obrazovanju-u-osnovnoj-i-srednjoj-%C5%A1kol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2019-12-10T09:08:00Z</dcterms:created>
  <dcterms:modified xsi:type="dcterms:W3CDTF">2019-12-10T09:11:00Z</dcterms:modified>
</cp:coreProperties>
</file>